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567"/>
        <w:jc w:val="center"/>
        <w:rPr>
          <w:b/>
          <w:sz w:val="28"/>
          <w:szCs w:val="28"/>
          <w:lang w:val="uk-UA"/>
        </w:rPr>
      </w:pPr>
      <w:r/>
      <w:bookmarkStart w:id="0" w:name="_GoBack"/>
      <w:r/>
      <w:bookmarkEnd w:id="0"/>
      <w:r>
        <w:rPr>
          <w:b/>
          <w:sz w:val="28"/>
          <w:szCs w:val="28"/>
          <w:lang w:val="uk-UA"/>
        </w:rPr>
        <w:t xml:space="preserve">Проєкт звіту про виконання</w:t>
      </w:r>
      <w:r>
        <w:rPr>
          <w:b/>
          <w:sz w:val="28"/>
          <w:szCs w:val="28"/>
          <w:lang w:val="uk-UA"/>
        </w:rPr>
        <w:t xml:space="preserve"> у 202</w:t>
      </w:r>
      <w:r>
        <w:rPr>
          <w:b/>
          <w:sz w:val="28"/>
          <w:szCs w:val="28"/>
          <w:lang w:val="uk-UA"/>
        </w:rPr>
        <w:t xml:space="preserve">4</w:t>
      </w:r>
      <w:r>
        <w:rPr>
          <w:b/>
          <w:sz w:val="28"/>
          <w:szCs w:val="28"/>
          <w:lang w:val="uk-UA"/>
        </w:rPr>
        <w:t xml:space="preserve"> році </w:t>
      </w:r>
      <w:r>
        <w:rPr>
          <w:b/>
          <w:sz w:val="28"/>
          <w:szCs w:val="28"/>
          <w:lang w:val="uk-UA"/>
        </w:rPr>
        <w:t xml:space="preserve">Обласної цільової </w:t>
      </w:r>
      <w:r>
        <w:rPr>
          <w:b/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 xml:space="preserve">довгострокової програми «Мистецька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освіта Чернігівщини»</w:t>
      </w:r>
      <w:r>
        <w:rPr>
          <w:b/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 xml:space="preserve">на 2011-2025 роки</w:t>
      </w:r>
      <w:r>
        <w:rPr>
          <w:b/>
          <w:sz w:val="28"/>
          <w:szCs w:val="28"/>
          <w:lang w:val="uk-UA"/>
        </w:rPr>
      </w:r>
    </w:p>
    <w:p>
      <w:pPr>
        <w:pBdr/>
        <w:spacing/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створення сприятливих умов для розвитку творчого, інтелектуального та духовного потенціалу підростаючого покоління, якісного здобуття мистецької освіти та забезпечення закладів культури кваліфікованими кадрами рішенн</w:t>
      </w:r>
      <w:r>
        <w:rPr>
          <w:sz w:val="28"/>
          <w:szCs w:val="28"/>
          <w:lang w:val="uk-UA"/>
        </w:rPr>
        <w:t xml:space="preserve">ям Чернігівської обласної ради </w:t>
      </w:r>
      <w:r>
        <w:rPr>
          <w:sz w:val="28"/>
          <w:szCs w:val="28"/>
          <w:lang w:val="uk-UA"/>
        </w:rPr>
        <w:t xml:space="preserve">(п’ята сесія шостого скликання) від 30 вересня </w:t>
      </w:r>
      <w:r>
        <w:rPr>
          <w:sz w:val="28"/>
          <w:szCs w:val="28"/>
          <w:lang w:val="uk-UA"/>
        </w:rPr>
        <w:t xml:space="preserve">2011 року (зі змінами </w:t>
      </w:r>
      <w:r>
        <w:rPr>
          <w:sz w:val="28"/>
          <w:szCs w:val="28"/>
          <w:lang w:val="uk-UA"/>
        </w:rPr>
        <w:t xml:space="preserve">від 28 жовтня 2020 року (двадцять п’ята сесія сьомого скликання)) затверджено Обласну цільову довгострокову Програму «Мистецька освіта Чернігівщини» на 2011</w:t>
      </w:r>
      <w:r>
        <w:rPr>
          <w:sz w:val="28"/>
          <w:szCs w:val="28"/>
          <w:lang w:val="uk-UA"/>
        </w:rPr>
        <w:t xml:space="preserve">-2025 роки (далі –</w:t>
      </w:r>
      <w:r>
        <w:rPr>
          <w:sz w:val="28"/>
          <w:szCs w:val="28"/>
          <w:lang w:val="uk-UA"/>
        </w:rPr>
        <w:t xml:space="preserve"> Програма).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202</w:t>
      </w:r>
      <w:r>
        <w:rPr>
          <w:sz w:val="28"/>
          <w:szCs w:val="28"/>
          <w:lang w:val="uk-UA"/>
        </w:rPr>
        <w:t xml:space="preserve">3 році</w:t>
      </w:r>
      <w:r>
        <w:rPr>
          <w:sz w:val="28"/>
          <w:szCs w:val="28"/>
          <w:lang w:val="uk-UA"/>
        </w:rPr>
        <w:t xml:space="preserve"> на виконання Програми </w:t>
      </w:r>
      <w:r>
        <w:rPr>
          <w:sz w:val="28"/>
          <w:szCs w:val="28"/>
          <w:lang w:val="uk-UA"/>
        </w:rPr>
        <w:t xml:space="preserve">використано коштів в сумі</w:t>
      </w:r>
      <w:r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 xml:space="preserve">2598,077</w:t>
      </w:r>
      <w:r>
        <w:rPr>
          <w:sz w:val="28"/>
          <w:szCs w:val="28"/>
          <w:lang w:val="uk-UA"/>
        </w:rPr>
        <w:t xml:space="preserve"> </w:t>
      </w:r>
      <w:r>
        <w:rPr>
          <w:sz w:val="28"/>
          <w:szCs w:val="28"/>
          <w:lang w:val="uk-UA"/>
        </w:rPr>
        <w:t xml:space="preserve">тис. грн</w:t>
      </w:r>
      <w:r>
        <w:rPr>
          <w:sz w:val="28"/>
          <w:szCs w:val="28"/>
          <w:lang w:val="uk-UA"/>
        </w:rPr>
        <w:t xml:space="preserve"> із передбачених</w:t>
      </w:r>
      <w:r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 xml:space="preserve">8571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300</w:t>
      </w:r>
      <w:r>
        <w:rPr>
          <w:sz w:val="28"/>
          <w:szCs w:val="28"/>
          <w:lang w:val="uk-UA"/>
        </w:rPr>
        <w:t xml:space="preserve"> тис. грн.</w:t>
      </w:r>
      <w:r>
        <w:rPr>
          <w:b/>
          <w:i/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Мережа початкових</w:t>
      </w:r>
      <w:r>
        <w:rPr>
          <w:sz w:val="28"/>
          <w:szCs w:val="28"/>
          <w:lang w:val="uk-UA"/>
        </w:rPr>
        <w:t xml:space="preserve"> спеціалізованих закладів мистецької освіти області становить 39 мистецьких шкіл. Початкову мистецьку освіту у 2023-2024 навчальному році отримувало 8203 учнів, на початок 2024-2025 навчального року контингент мистецьких шкіл області становить 8185 учнів. 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педагогічних працівників мистецьких шкіл області – 882 викладачів, з них 12 мають почесні звання.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Системно проводиться робота по створенню умов для розвитку творчих здібностей дітей,  підвищенню ефективності освітнього процесу та результативності навчання.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Завдяки виконанням програмних завдань  забезпечено функціонування шкіл мистецтв при Чернігівському фаховому музичному коледжі ім.</w:t>
      </w:r>
      <w:r>
        <w:rPr>
          <w:sz w:val="28"/>
          <w:szCs w:val="28"/>
          <w:lang w:val="uk-UA"/>
        </w:rPr>
        <w:t xml:space="preserve"> </w:t>
      </w:r>
      <w:r>
        <w:rPr>
          <w:sz w:val="28"/>
          <w:szCs w:val="28"/>
          <w:lang w:val="uk-UA"/>
        </w:rPr>
        <w:t xml:space="preserve">Л.М.</w:t>
      </w:r>
      <w:r>
        <w:rPr>
          <w:sz w:val="28"/>
          <w:szCs w:val="28"/>
          <w:lang w:val="uk-UA"/>
        </w:rPr>
        <w:t xml:space="preserve"> </w:t>
      </w:r>
      <w:r>
        <w:rPr>
          <w:sz w:val="28"/>
          <w:szCs w:val="28"/>
          <w:lang w:val="uk-UA"/>
        </w:rPr>
        <w:t xml:space="preserve">Ревуцького та Ніжинському фаховому коледжі культури і мистецтв імені Марії Заньковецької. 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лютого 2024 року відбулась  ХХІХ Всеукраїнська науково-практична конференція в рамках фестивалю «Дні Л.М.</w:t>
      </w:r>
      <w:r>
        <w:rPr>
          <w:sz w:val="28"/>
          <w:szCs w:val="28"/>
          <w:lang w:val="uk-UA"/>
        </w:rPr>
        <w:t xml:space="preserve"> </w:t>
      </w:r>
      <w:r>
        <w:rPr>
          <w:sz w:val="28"/>
          <w:szCs w:val="28"/>
          <w:lang w:val="uk-UA"/>
        </w:rPr>
        <w:t xml:space="preserve">Ревуцького в Чернігові».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виклад</w:t>
      </w:r>
      <w:r>
        <w:rPr>
          <w:sz w:val="28"/>
          <w:szCs w:val="28"/>
          <w:lang w:val="uk-UA"/>
        </w:rPr>
        <w:t xml:space="preserve">ачів закладів мистецької освіти області протягом жовтня-грудня 2024 року підготовлено та проведено обласні конференції на тему «Мистецька освіта в Україні: виклики та перспективи в реаліях сьогодення». Загальна кількість учасників становить 628 викладачів.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звітному періоді забезпечено підготовку та проведення 17 обласних конкурсів для учнів мистецьких шкіл області.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Проведено 3 засідання обласної Ради директорів мистецьких навчальних закладів (дистанційно).</w:t>
      </w:r>
      <w:r>
        <w:rPr>
          <w:i/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sectPr>
      <w:footnotePr/>
      <w:endnotePr/>
      <w:type w:val="nextPage"/>
      <w:pgSz w:h="15840" w:orient="portrait" w:w="12240"/>
      <w:pgMar w:top="1134" w:right="567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spacing/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"/>
      <w:numFmt w:val="bullet"/>
      <w:pPr>
        <w:pBdr/>
        <w:spacing/>
        <w:ind w:hanging="360" w:left="106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8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35"/>
    <w:next w:val="635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35"/>
    <w:next w:val="63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5"/>
    <w:next w:val="63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5"/>
    <w:next w:val="63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5"/>
    <w:next w:val="63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5"/>
    <w:next w:val="63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5"/>
    <w:next w:val="63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5"/>
    <w:next w:val="63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5"/>
    <w:next w:val="63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6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6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6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6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6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6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5"/>
    <w:next w:val="63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6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5"/>
    <w:next w:val="63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5"/>
    <w:next w:val="63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35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5"/>
    <w:next w:val="63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5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6"/>
    <w:link w:val="175"/>
    <w:uiPriority w:val="99"/>
    <w:pPr>
      <w:pBdr/>
      <w:spacing/>
      <w:ind/>
    </w:pPr>
  </w:style>
  <w:style w:type="paragraph" w:styleId="177">
    <w:name w:val="Footer"/>
    <w:basedOn w:val="635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6"/>
    <w:link w:val="177"/>
    <w:uiPriority w:val="99"/>
    <w:pPr>
      <w:pBdr/>
      <w:spacing/>
      <w:ind/>
    </w:pPr>
  </w:style>
  <w:style w:type="paragraph" w:styleId="179">
    <w:name w:val="Caption"/>
    <w:basedOn w:val="635"/>
    <w:next w:val="63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6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5"/>
    <w:next w:val="635"/>
    <w:uiPriority w:val="99"/>
    <w:unhideWhenUsed/>
    <w:pPr>
      <w:pBdr/>
      <w:spacing w:after="0" w:afterAutospacing="0"/>
      <w:ind/>
    </w:pPr>
  </w:style>
  <w:style w:type="paragraph" w:styleId="635" w:default="1">
    <w:name w:val="Normal"/>
    <w:qFormat/>
    <w:pPr>
      <w:pBdr/>
      <w:spacing w:after="0" w:line="240" w:lineRule="auto"/>
      <w:ind/>
      <w:jc w:val="both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636" w:default="1">
    <w:name w:val="Default Paragraph Font"/>
    <w:uiPriority w:val="1"/>
    <w:semiHidden/>
    <w:unhideWhenUsed/>
    <w:pPr>
      <w:pBdr/>
      <w:spacing/>
      <w:ind/>
    </w:pPr>
  </w:style>
  <w:style w:type="table" w:styleId="63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8" w:default="1">
    <w:name w:val="No List"/>
    <w:uiPriority w:val="99"/>
    <w:semiHidden/>
    <w:unhideWhenUsed/>
    <w:pPr>
      <w:pBdr/>
      <w:spacing/>
      <w:ind/>
    </w:pPr>
  </w:style>
  <w:style w:type="paragraph" w:styleId="639">
    <w:name w:val="Normal (Web)"/>
    <w:basedOn w:val="635"/>
    <w:uiPriority w:val="99"/>
    <w:unhideWhenUsed/>
    <w:pPr>
      <w:pBdr/>
      <w:spacing w:after="100" w:afterAutospacing="1" w:before="100" w:beforeAutospacing="1"/>
      <w:ind/>
      <w:jc w:val="left"/>
    </w:pPr>
    <w:rPr>
      <w:lang w:val="en-US" w:eastAsia="en-US"/>
    </w:rPr>
  </w:style>
  <w:style w:type="paragraph" w:styleId="640" w:customStyle="1">
    <w:name w:val="Знак Знак1 Знак Знак Знак"/>
    <w:basedOn w:val="635"/>
    <w:pPr>
      <w:pBdr/>
      <w:spacing/>
      <w:ind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641" w:customStyle="1">
    <w:name w:val="Обычний"/>
    <w:basedOn w:val="635"/>
    <w:pPr>
      <w:pBdr/>
      <w:spacing/>
      <w:ind w:firstLine="709"/>
    </w:pPr>
    <w:rPr>
      <w:sz w:val="28"/>
      <w:szCs w:val="20"/>
    </w:rPr>
  </w:style>
  <w:style w:type="character" w:styleId="642" w:customStyle="1">
    <w:name w:val="Основной текст + 12"/>
    <w:pPr>
      <w:pBdr/>
      <w:spacing/>
      <w:ind/>
    </w:pPr>
    <w:rPr>
      <w:rFonts w:ascii="Times New Roman" w:hAnsi="Times New Roman" w:cs="Times New Roman"/>
      <w:spacing w:val="10"/>
      <w:sz w:val="25"/>
      <w:szCs w:val="2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Anonymous</cp:lastModifiedBy>
  <cp:revision>3</cp:revision>
  <dcterms:created xsi:type="dcterms:W3CDTF">2025-01-17T12:26:00Z</dcterms:created>
  <dcterms:modified xsi:type="dcterms:W3CDTF">2025-01-17T13:14:25Z</dcterms:modified>
</cp:coreProperties>
</file>